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369F" w14:textId="77777777" w:rsidR="003E0958" w:rsidRPr="00C83BC3" w:rsidRDefault="000276EB">
      <w:pPr>
        <w:rPr>
          <w:rFonts w:ascii="Times New Roman" w:hAnsi="Times New Roman" w:cs="Times New Roman"/>
          <w:sz w:val="22"/>
          <w:szCs w:val="22"/>
          <w:lang w:val="mn-MN"/>
        </w:rPr>
      </w:pPr>
      <w:r w:rsidRPr="00C83BC3">
        <w:rPr>
          <w:rFonts w:ascii="Times New Roman" w:hAnsi="Times New Roman" w:cs="Times New Roman"/>
          <w:b/>
          <w:sz w:val="22"/>
          <w:szCs w:val="22"/>
          <w:lang w:val="mn-MN"/>
        </w:rPr>
        <w:t>МОНГОЛ УЛСЫГ ХӨГЖҮҮЛЭХ ТАВАН ЖИЛИЙН ҮНДСЭН ЧИГЛЭЛ</w:t>
      </w:r>
    </w:p>
    <w:p w14:paraId="600C3845" w14:textId="77777777" w:rsidR="003E0958" w:rsidRPr="00C83BC3" w:rsidRDefault="00000000">
      <w:pPr>
        <w:rPr>
          <w:rFonts w:ascii="Times New Roman" w:hAnsi="Times New Roman" w:cs="Times New Roman"/>
          <w:sz w:val="22"/>
          <w:szCs w:val="22"/>
          <w:lang w:val="mn-MN"/>
        </w:rPr>
      </w:pPr>
      <w:r w:rsidRPr="00C83BC3">
        <w:rPr>
          <w:rFonts w:ascii="Times New Roman" w:hAnsi="Times New Roman" w:cs="Times New Roman"/>
          <w:b/>
          <w:sz w:val="22"/>
          <w:szCs w:val="22"/>
          <w:lang w:val="mn-MN"/>
        </w:rPr>
        <w:t>Стандарт, хэмжил зүйн газар</w:t>
      </w:r>
    </w:p>
    <w:p w14:paraId="4FD785FC" w14:textId="1ADBBF79" w:rsidR="003E0958" w:rsidRPr="00C83BC3" w:rsidRDefault="00000000">
      <w:pPr>
        <w:rPr>
          <w:rFonts w:ascii="Times New Roman" w:hAnsi="Times New Roman" w:cs="Times New Roman"/>
          <w:sz w:val="22"/>
          <w:szCs w:val="22"/>
          <w:lang w:val="mn-MN"/>
        </w:rPr>
      </w:pPr>
      <w:r w:rsidRPr="00C83BC3">
        <w:rPr>
          <w:rFonts w:ascii="Times New Roman" w:hAnsi="Times New Roman" w:cs="Times New Roman"/>
          <w:b/>
          <w:sz w:val="22"/>
          <w:szCs w:val="22"/>
          <w:lang w:val="mn-MN"/>
        </w:rPr>
        <w:t>202</w:t>
      </w:r>
      <w:r w:rsidR="001761E0" w:rsidRPr="00C83BC3">
        <w:rPr>
          <w:rFonts w:ascii="Times New Roman" w:hAnsi="Times New Roman" w:cs="Times New Roman"/>
          <w:b/>
          <w:sz w:val="22"/>
          <w:szCs w:val="22"/>
          <w:lang w:val="mn-MN"/>
        </w:rPr>
        <w:t>3</w:t>
      </w:r>
      <w:r w:rsidRPr="00C83BC3">
        <w:rPr>
          <w:rFonts w:ascii="Times New Roman" w:hAnsi="Times New Roman" w:cs="Times New Roman"/>
          <w:b/>
          <w:sz w:val="22"/>
          <w:szCs w:val="22"/>
          <w:lang w:val="mn-MN"/>
        </w:rPr>
        <w:t xml:space="preserve"> оны </w:t>
      </w:r>
      <w:r w:rsidR="0057104B" w:rsidRPr="00C83BC3">
        <w:rPr>
          <w:rFonts w:ascii="Times New Roman" w:hAnsi="Times New Roman" w:cs="Times New Roman"/>
          <w:b/>
          <w:sz w:val="22"/>
          <w:szCs w:val="22"/>
          <w:lang w:val="mn-MN"/>
        </w:rPr>
        <w:t>жилийн эцэс</w:t>
      </w:r>
    </w:p>
    <w:tbl>
      <w:tblPr>
        <w:tblStyle w:val="ColspanRowspan"/>
        <w:tblW w:w="0" w:type="auto"/>
        <w:tblInd w:w="8" w:type="dxa"/>
        <w:tblLook w:val="04A0" w:firstRow="1" w:lastRow="0" w:firstColumn="1" w:lastColumn="0" w:noHBand="0" w:noVBand="1"/>
      </w:tblPr>
      <w:tblGrid>
        <w:gridCol w:w="453"/>
        <w:gridCol w:w="1390"/>
        <w:gridCol w:w="1555"/>
        <w:gridCol w:w="1097"/>
        <w:gridCol w:w="1283"/>
        <w:gridCol w:w="1027"/>
        <w:gridCol w:w="5511"/>
        <w:gridCol w:w="1599"/>
      </w:tblGrid>
      <w:tr w:rsidR="003E0958" w:rsidRPr="00C83BC3" w14:paraId="41AE9B33" w14:textId="77777777">
        <w:tc>
          <w:tcPr>
            <w:tcW w:w="40" w:type="dxa"/>
            <w:vAlign w:val="center"/>
          </w:tcPr>
          <w:p w14:paraId="1A3BE300"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Д/д</w:t>
            </w:r>
          </w:p>
        </w:tc>
        <w:tc>
          <w:tcPr>
            <w:tcW w:w="500" w:type="dxa"/>
            <w:vAlign w:val="center"/>
          </w:tcPr>
          <w:p w14:paraId="0680314C"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Зорилт</w:t>
            </w:r>
          </w:p>
        </w:tc>
        <w:tc>
          <w:tcPr>
            <w:tcW w:w="600" w:type="dxa"/>
            <w:vAlign w:val="center"/>
          </w:tcPr>
          <w:p w14:paraId="7EEFF038"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Арга хэмжээ</w:t>
            </w:r>
          </w:p>
        </w:tc>
        <w:tc>
          <w:tcPr>
            <w:tcW w:w="100" w:type="dxa"/>
            <w:vAlign w:val="center"/>
          </w:tcPr>
          <w:p w14:paraId="55DF9CB6"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Хэрэгжих хугацаа</w:t>
            </w:r>
          </w:p>
        </w:tc>
        <w:tc>
          <w:tcPr>
            <w:tcW w:w="200" w:type="dxa"/>
            <w:vAlign w:val="center"/>
          </w:tcPr>
          <w:p w14:paraId="7E8BE26E"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Зарцуулсан хөрөнгийн хэмжээ, эх үүсвэр (сая төгрөг)</w:t>
            </w:r>
          </w:p>
        </w:tc>
        <w:tc>
          <w:tcPr>
            <w:tcW w:w="500" w:type="dxa"/>
            <w:vAlign w:val="center"/>
          </w:tcPr>
          <w:p w14:paraId="577AA0E0" w14:textId="465F8543"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202</w:t>
            </w:r>
            <w:r w:rsidR="00970254" w:rsidRPr="00C83BC3">
              <w:rPr>
                <w:rFonts w:ascii="Times New Roman" w:hAnsi="Times New Roman" w:cs="Times New Roman"/>
                <w:b/>
                <w:bCs/>
                <w:sz w:val="22"/>
                <w:szCs w:val="22"/>
                <w:lang w:val="mn-MN"/>
              </w:rPr>
              <w:t xml:space="preserve">3 </w:t>
            </w:r>
            <w:r w:rsidRPr="00C83BC3">
              <w:rPr>
                <w:rFonts w:ascii="Times New Roman" w:hAnsi="Times New Roman" w:cs="Times New Roman"/>
                <w:b/>
                <w:bCs/>
                <w:sz w:val="22"/>
                <w:szCs w:val="22"/>
                <w:lang w:val="mn-MN"/>
              </w:rPr>
              <w:t>оны зорилтот түвшин, үр дүнгийн үзүүлэлт</w:t>
            </w:r>
          </w:p>
        </w:tc>
        <w:tc>
          <w:tcPr>
            <w:tcW w:w="8000" w:type="dxa"/>
            <w:vAlign w:val="center"/>
          </w:tcPr>
          <w:p w14:paraId="167AA897"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Хүрсэн түвшин, үр дүн</w:t>
            </w:r>
          </w:p>
        </w:tc>
        <w:tc>
          <w:tcPr>
            <w:tcW w:w="150" w:type="dxa"/>
            <w:vAlign w:val="center"/>
          </w:tcPr>
          <w:p w14:paraId="7AA25BF4"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Хэрэгжилтийн хувь</w:t>
            </w:r>
          </w:p>
        </w:tc>
      </w:tr>
      <w:tr w:rsidR="003E0958" w:rsidRPr="00C83BC3" w14:paraId="190FC01F" w14:textId="77777777" w:rsidTr="00CE7BAA">
        <w:trPr>
          <w:trHeight w:val="370"/>
        </w:trPr>
        <w:tc>
          <w:tcPr>
            <w:tcW w:w="0" w:type="dxa"/>
            <w:gridSpan w:val="8"/>
            <w:vAlign w:val="center"/>
          </w:tcPr>
          <w:p w14:paraId="6284BB3B"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2. ХОЁР. ХҮНИЙ ХӨГЖИЛ</w:t>
            </w:r>
          </w:p>
        </w:tc>
      </w:tr>
      <w:tr w:rsidR="003E0958" w:rsidRPr="00C83BC3" w14:paraId="5B61BE0B" w14:textId="77777777">
        <w:tc>
          <w:tcPr>
            <w:tcW w:w="0" w:type="dxa"/>
            <w:vAlign w:val="center"/>
          </w:tcPr>
          <w:p w14:paraId="0C4A1824" w14:textId="77777777" w:rsidR="003E0958" w:rsidRPr="00C83BC3" w:rsidRDefault="00000000" w:rsidP="00CE2485">
            <w:pPr>
              <w:spacing w:after="0" w:line="240" w:lineRule="auto"/>
              <w:ind w:left="57" w:right="57"/>
              <w:jc w:val="center"/>
              <w:rPr>
                <w:rFonts w:ascii="Times New Roman" w:hAnsi="Times New Roman" w:cs="Times New Roman"/>
                <w:sz w:val="22"/>
                <w:szCs w:val="22"/>
                <w:lang w:val="mn-MN"/>
              </w:rPr>
            </w:pPr>
            <w:r w:rsidRPr="00C83BC3">
              <w:rPr>
                <w:rFonts w:ascii="Times New Roman" w:hAnsi="Times New Roman" w:cs="Times New Roman"/>
                <w:sz w:val="22"/>
                <w:szCs w:val="22"/>
                <w:lang w:val="mn-MN"/>
              </w:rPr>
              <w:t>1</w:t>
            </w:r>
          </w:p>
        </w:tc>
        <w:tc>
          <w:tcPr>
            <w:tcW w:w="0" w:type="dxa"/>
            <w:vMerge w:val="restart"/>
            <w:vAlign w:val="center"/>
          </w:tcPr>
          <w:p w14:paraId="118CDD5F" w14:textId="77777777" w:rsidR="003E0958" w:rsidRPr="00C83BC3" w:rsidRDefault="00000000" w:rsidP="00CE2485">
            <w:pPr>
              <w:spacing w:after="0" w:line="240" w:lineRule="auto"/>
              <w:ind w:left="57" w:right="57"/>
              <w:rPr>
                <w:rFonts w:ascii="Times New Roman" w:hAnsi="Times New Roman" w:cs="Times New Roman"/>
                <w:sz w:val="22"/>
                <w:szCs w:val="22"/>
                <w:lang w:val="mn-MN"/>
              </w:rPr>
            </w:pPr>
            <w:r w:rsidRPr="00C83BC3">
              <w:rPr>
                <w:rFonts w:ascii="Times New Roman" w:hAnsi="Times New Roman" w:cs="Times New Roman"/>
                <w:sz w:val="22"/>
                <w:szCs w:val="22"/>
                <w:lang w:val="mn-MN"/>
              </w:rPr>
              <w:t>2.4. Шинжлэх ухаан, технологийг улс орны тогтвортой хөгжлийн үндсэн хүчин зүйлсийн нэг болгон хөгжүүлж, үр ашигтай үндэсний инновацын тогтолцоог бүрдүүлнэ.</w:t>
            </w:r>
          </w:p>
        </w:tc>
        <w:tc>
          <w:tcPr>
            <w:tcW w:w="0" w:type="dxa"/>
          </w:tcPr>
          <w:p w14:paraId="64153324" w14:textId="77777777" w:rsidR="003E0958" w:rsidRPr="00C83BC3" w:rsidRDefault="00000000" w:rsidP="00CE2485">
            <w:pPr>
              <w:spacing w:after="0" w:line="240" w:lineRule="auto"/>
              <w:ind w:left="57" w:right="57"/>
              <w:rPr>
                <w:rFonts w:ascii="Times New Roman" w:hAnsi="Times New Roman" w:cs="Times New Roman"/>
                <w:sz w:val="22"/>
                <w:szCs w:val="22"/>
                <w:lang w:val="mn-MN"/>
              </w:rPr>
            </w:pPr>
            <w:r w:rsidRPr="00C83BC3">
              <w:rPr>
                <w:rFonts w:ascii="Times New Roman" w:hAnsi="Times New Roman" w:cs="Times New Roman"/>
                <w:sz w:val="22"/>
                <w:szCs w:val="22"/>
                <w:lang w:val="mn-MN"/>
              </w:rPr>
              <w:t>2.4.8. Хэмжил зүйн лабораторийг олон улсын жишигт хүргэсэн байна.</w:t>
            </w:r>
          </w:p>
        </w:tc>
        <w:tc>
          <w:tcPr>
            <w:tcW w:w="0" w:type="dxa"/>
          </w:tcPr>
          <w:p w14:paraId="1C57DDAC" w14:textId="77777777" w:rsidR="003E0958" w:rsidRPr="00C83BC3" w:rsidRDefault="00000000" w:rsidP="00CE2485">
            <w:pPr>
              <w:spacing w:after="0" w:line="240" w:lineRule="auto"/>
              <w:ind w:left="57" w:right="57"/>
              <w:jc w:val="center"/>
              <w:rPr>
                <w:rFonts w:ascii="Times New Roman" w:hAnsi="Times New Roman" w:cs="Times New Roman"/>
                <w:sz w:val="22"/>
                <w:szCs w:val="22"/>
                <w:lang w:val="mn-MN"/>
              </w:rPr>
            </w:pPr>
            <w:r w:rsidRPr="00C83BC3">
              <w:rPr>
                <w:rFonts w:ascii="Times New Roman" w:hAnsi="Times New Roman" w:cs="Times New Roman"/>
                <w:sz w:val="22"/>
                <w:szCs w:val="22"/>
                <w:lang w:val="mn-MN"/>
              </w:rPr>
              <w:t>2021 - 2025</w:t>
            </w:r>
          </w:p>
        </w:tc>
        <w:tc>
          <w:tcPr>
            <w:tcW w:w="0" w:type="dxa"/>
          </w:tcPr>
          <w:p w14:paraId="71DFD10B" w14:textId="77777777" w:rsidR="003E0958" w:rsidRPr="00C83BC3" w:rsidRDefault="00000000" w:rsidP="00CE2485">
            <w:pPr>
              <w:spacing w:after="0" w:line="240" w:lineRule="auto"/>
              <w:ind w:left="57" w:right="57"/>
              <w:rPr>
                <w:rFonts w:ascii="Times New Roman" w:hAnsi="Times New Roman" w:cs="Times New Roman"/>
                <w:sz w:val="22"/>
                <w:szCs w:val="22"/>
                <w:lang w:val="mn-MN"/>
              </w:rPr>
            </w:pPr>
            <w:r w:rsidRPr="00C83BC3">
              <w:rPr>
                <w:rFonts w:ascii="Times New Roman" w:hAnsi="Times New Roman" w:cs="Times New Roman"/>
                <w:sz w:val="22"/>
                <w:szCs w:val="22"/>
                <w:lang w:val="mn-MN"/>
              </w:rPr>
              <w:t>-</w:t>
            </w:r>
          </w:p>
        </w:tc>
        <w:tc>
          <w:tcPr>
            <w:tcW w:w="0" w:type="dxa"/>
          </w:tcPr>
          <w:p w14:paraId="326390BA" w14:textId="77777777" w:rsidR="003E0958" w:rsidRPr="00C83BC3" w:rsidRDefault="003E0958" w:rsidP="00CE2485">
            <w:pPr>
              <w:spacing w:after="0" w:line="240" w:lineRule="auto"/>
              <w:ind w:left="57" w:right="57"/>
              <w:rPr>
                <w:rFonts w:ascii="Times New Roman" w:hAnsi="Times New Roman" w:cs="Times New Roman"/>
                <w:sz w:val="22"/>
                <w:szCs w:val="22"/>
                <w:lang w:val="mn-MN"/>
              </w:rPr>
            </w:pPr>
          </w:p>
        </w:tc>
        <w:tc>
          <w:tcPr>
            <w:tcW w:w="0" w:type="dxa"/>
          </w:tcPr>
          <w:p w14:paraId="4BBAB6F2" w14:textId="77777777" w:rsidR="0072717F" w:rsidRPr="00C83BC3" w:rsidRDefault="00E16641" w:rsidP="0072717F">
            <w:pPr>
              <w:pStyle w:val="ListParagraph"/>
              <w:numPr>
                <w:ilvl w:val="0"/>
                <w:numId w:val="1"/>
              </w:numPr>
              <w:ind w:right="57"/>
              <w:jc w:val="both"/>
              <w:rPr>
                <w:rFonts w:ascii="Times New Roman" w:hAnsi="Times New Roman"/>
                <w:sz w:val="22"/>
                <w:szCs w:val="22"/>
                <w:lang w:val="mn-MN"/>
              </w:rPr>
            </w:pPr>
            <w:r w:rsidRPr="00C83BC3">
              <w:rPr>
                <w:rFonts w:ascii="Times New Roman" w:hAnsi="Times New Roman"/>
                <w:sz w:val="22"/>
                <w:szCs w:val="22"/>
                <w:lang w:val="mn-MN"/>
              </w:rPr>
              <w:t xml:space="preserve">Хэмжил зүйн лабораторийг олон улсын жишигт нийцүүлэн чадавхжуулах чиглэлээр Бүгд Найрамдах Солонгос Улсын Засгийн газрын буцалтгүй тусламжийн хүрээнд 2025 онд шинээр хэрэгжүүлэх шаардлагатай 5 төслийн саналыг </w:t>
            </w:r>
            <w:proofErr w:type="spellStart"/>
            <w:r w:rsidRPr="00C83BC3">
              <w:rPr>
                <w:rFonts w:ascii="Times New Roman" w:hAnsi="Times New Roman"/>
                <w:sz w:val="22"/>
                <w:szCs w:val="22"/>
                <w:lang w:val="mn-MN"/>
              </w:rPr>
              <w:t>КОЙКА</w:t>
            </w:r>
            <w:proofErr w:type="spellEnd"/>
            <w:r w:rsidRPr="00C83BC3">
              <w:rPr>
                <w:rFonts w:ascii="Times New Roman" w:hAnsi="Times New Roman"/>
                <w:sz w:val="22"/>
                <w:szCs w:val="22"/>
                <w:lang w:val="mn-MN"/>
              </w:rPr>
              <w:t>-гийн төсөл боловсруулах загвар (PCP)-ын дагуу боловсруулан 2023 оны 06 дугаар сарын 16-ны өдрийн 01/561 дугаартай албан бичгээр Сангийн яаманд хүргүүлсэн.</w:t>
            </w:r>
          </w:p>
          <w:p w14:paraId="54116016" w14:textId="77777777" w:rsidR="0072717F" w:rsidRPr="00C83BC3" w:rsidRDefault="00E16641" w:rsidP="0072717F">
            <w:pPr>
              <w:pStyle w:val="ListParagraph"/>
              <w:numPr>
                <w:ilvl w:val="0"/>
                <w:numId w:val="1"/>
              </w:numPr>
              <w:ind w:right="57"/>
              <w:jc w:val="both"/>
              <w:rPr>
                <w:rFonts w:ascii="Times New Roman" w:hAnsi="Times New Roman"/>
                <w:sz w:val="22"/>
                <w:szCs w:val="22"/>
                <w:lang w:val="mn-MN"/>
              </w:rPr>
            </w:pPr>
            <w:r w:rsidRPr="00C83BC3">
              <w:rPr>
                <w:rFonts w:ascii="Times New Roman" w:hAnsi="Times New Roman"/>
                <w:sz w:val="22"/>
                <w:szCs w:val="22"/>
                <w:lang w:val="mn-MN"/>
              </w:rPr>
              <w:t xml:space="preserve">Жин ба хэмжүүрийн олон улсын байгууллагын мэдээллийн сан (BIPM KCDB)-д цахилгааны хэмжлийн чанарын үзүүлэлт болох </w:t>
            </w:r>
            <w:proofErr w:type="spellStart"/>
            <w:r w:rsidRPr="00C83BC3">
              <w:rPr>
                <w:rFonts w:ascii="Times New Roman" w:hAnsi="Times New Roman"/>
                <w:sz w:val="22"/>
                <w:szCs w:val="22"/>
                <w:lang w:val="mn-MN"/>
              </w:rPr>
              <w:t>эталоны</w:t>
            </w:r>
            <w:proofErr w:type="spellEnd"/>
            <w:r w:rsidRPr="00C83BC3">
              <w:rPr>
                <w:rFonts w:ascii="Times New Roman" w:hAnsi="Times New Roman"/>
                <w:sz w:val="22"/>
                <w:szCs w:val="22"/>
                <w:lang w:val="mn-MN"/>
              </w:rPr>
              <w:t xml:space="preserve"> 6 шалгалт тохируулга, хэмжлийн чадавх (</w:t>
            </w:r>
            <w:proofErr w:type="spellStart"/>
            <w:r w:rsidRPr="00C83BC3">
              <w:rPr>
                <w:rFonts w:ascii="Times New Roman" w:hAnsi="Times New Roman"/>
                <w:sz w:val="22"/>
                <w:szCs w:val="22"/>
                <w:lang w:val="mn-MN"/>
              </w:rPr>
              <w:t>СМС</w:t>
            </w:r>
            <w:proofErr w:type="spellEnd"/>
            <w:r w:rsidRPr="00C83BC3">
              <w:rPr>
                <w:rFonts w:ascii="Times New Roman" w:hAnsi="Times New Roman"/>
                <w:sz w:val="22"/>
                <w:szCs w:val="22"/>
                <w:lang w:val="mn-MN"/>
              </w:rPr>
              <w:t>)-ыг бүртгүүлэн олон улсад хүлээн зөвшөөрөгдсөн.</w:t>
            </w:r>
          </w:p>
          <w:p w14:paraId="43DE70B0" w14:textId="3084071B" w:rsidR="003E0958" w:rsidRPr="00C83BC3" w:rsidRDefault="00E16641" w:rsidP="0072717F">
            <w:pPr>
              <w:pStyle w:val="ListParagraph"/>
              <w:numPr>
                <w:ilvl w:val="0"/>
                <w:numId w:val="1"/>
              </w:numPr>
              <w:ind w:right="57"/>
              <w:jc w:val="both"/>
              <w:rPr>
                <w:rFonts w:ascii="Times New Roman" w:hAnsi="Times New Roman"/>
                <w:sz w:val="22"/>
                <w:szCs w:val="22"/>
                <w:lang w:val="mn-MN"/>
              </w:rPr>
            </w:pPr>
            <w:r w:rsidRPr="00C83BC3">
              <w:rPr>
                <w:rFonts w:ascii="Times New Roman" w:hAnsi="Times New Roman"/>
                <w:sz w:val="22"/>
                <w:szCs w:val="22"/>
                <w:lang w:val="mn-MN"/>
              </w:rPr>
              <w:t>Ази номхон далайн хэмжил зүйн хөтөлбөр (</w:t>
            </w:r>
            <w:proofErr w:type="spellStart"/>
            <w:r w:rsidRPr="00C83BC3">
              <w:rPr>
                <w:rFonts w:ascii="Times New Roman" w:hAnsi="Times New Roman"/>
                <w:sz w:val="22"/>
                <w:szCs w:val="22"/>
                <w:lang w:val="mn-MN"/>
              </w:rPr>
              <w:t>АРМР</w:t>
            </w:r>
            <w:proofErr w:type="spellEnd"/>
            <w:r w:rsidRPr="00C83BC3">
              <w:rPr>
                <w:rFonts w:ascii="Times New Roman" w:hAnsi="Times New Roman"/>
                <w:sz w:val="22"/>
                <w:szCs w:val="22"/>
                <w:lang w:val="mn-MN"/>
              </w:rPr>
              <w:t>) бүс нутгийн хэмжил зүйн олон улсын байгууллагаас зохион байгуулсан</w:t>
            </w:r>
            <w:r w:rsidR="00F316D7" w:rsidRPr="00C83BC3">
              <w:rPr>
                <w:rFonts w:ascii="Times New Roman" w:hAnsi="Times New Roman"/>
                <w:sz w:val="22"/>
                <w:szCs w:val="22"/>
                <w:lang w:val="mn-MN"/>
              </w:rPr>
              <w:t>. Даралт, э</w:t>
            </w:r>
            <w:r w:rsidRPr="00C83BC3">
              <w:rPr>
                <w:rFonts w:ascii="Times New Roman" w:hAnsi="Times New Roman"/>
                <w:sz w:val="22"/>
                <w:szCs w:val="22"/>
                <w:lang w:val="mn-MN"/>
              </w:rPr>
              <w:t>злэхүүн, температурын хэмжлийн лаборатори хоорондын олон улсын харьцуулалтад оролцсон.</w:t>
            </w:r>
          </w:p>
        </w:tc>
        <w:tc>
          <w:tcPr>
            <w:tcW w:w="0" w:type="dxa"/>
            <w:vAlign w:val="center"/>
          </w:tcPr>
          <w:p w14:paraId="4795DD90" w14:textId="77777777" w:rsidR="003E0958" w:rsidRPr="00C83BC3" w:rsidRDefault="00CE7BAA" w:rsidP="00CE2485">
            <w:pPr>
              <w:spacing w:after="0" w:line="240" w:lineRule="auto"/>
              <w:ind w:left="57" w:right="57"/>
              <w:jc w:val="center"/>
              <w:rPr>
                <w:rFonts w:ascii="Times New Roman" w:hAnsi="Times New Roman" w:cs="Times New Roman"/>
                <w:sz w:val="22"/>
                <w:szCs w:val="22"/>
                <w:lang w:val="mn-MN"/>
              </w:rPr>
            </w:pPr>
            <w:r w:rsidRPr="00C83BC3">
              <w:rPr>
                <w:rFonts w:ascii="Times New Roman" w:hAnsi="Times New Roman" w:cs="Times New Roman"/>
                <w:sz w:val="22"/>
                <w:szCs w:val="22"/>
                <w:lang w:val="mn-MN"/>
              </w:rPr>
              <w:t>-</w:t>
            </w:r>
          </w:p>
        </w:tc>
      </w:tr>
      <w:tr w:rsidR="003E0958" w:rsidRPr="00C83BC3" w14:paraId="442C3370" w14:textId="77777777" w:rsidTr="007D42C0">
        <w:trPr>
          <w:trHeight w:val="328"/>
        </w:trPr>
        <w:tc>
          <w:tcPr>
            <w:tcW w:w="0" w:type="dxa"/>
            <w:gridSpan w:val="8"/>
            <w:vAlign w:val="center"/>
          </w:tcPr>
          <w:p w14:paraId="4FC498F1" w14:textId="77777777" w:rsidR="003E0958" w:rsidRPr="00C83BC3" w:rsidRDefault="00000000" w:rsidP="00CE2485">
            <w:pPr>
              <w:spacing w:after="0" w:line="240" w:lineRule="auto"/>
              <w:ind w:left="57" w:right="57"/>
              <w:jc w:val="center"/>
              <w:rPr>
                <w:rFonts w:ascii="Times New Roman" w:hAnsi="Times New Roman" w:cs="Times New Roman"/>
                <w:b/>
                <w:bCs/>
                <w:sz w:val="22"/>
                <w:szCs w:val="22"/>
                <w:lang w:val="mn-MN"/>
              </w:rPr>
            </w:pPr>
            <w:r w:rsidRPr="00C83BC3">
              <w:rPr>
                <w:rFonts w:ascii="Times New Roman" w:hAnsi="Times New Roman" w:cs="Times New Roman"/>
                <w:b/>
                <w:bCs/>
                <w:sz w:val="22"/>
                <w:szCs w:val="22"/>
                <w:lang w:val="mn-MN"/>
              </w:rPr>
              <w:t>4. ДӨРӨВ. ЭДИЙН ЗАСАГ</w:t>
            </w:r>
          </w:p>
        </w:tc>
      </w:tr>
      <w:tr w:rsidR="003E0958" w:rsidRPr="00C83BC3" w14:paraId="5FE4A513" w14:textId="77777777">
        <w:tc>
          <w:tcPr>
            <w:tcW w:w="0" w:type="dxa"/>
            <w:vAlign w:val="center"/>
          </w:tcPr>
          <w:p w14:paraId="6EBE1A04" w14:textId="77777777" w:rsidR="003E0958" w:rsidRPr="00C83BC3" w:rsidRDefault="00000000" w:rsidP="00CE2485">
            <w:pPr>
              <w:spacing w:after="0" w:line="240" w:lineRule="auto"/>
              <w:ind w:left="57" w:right="57"/>
              <w:jc w:val="center"/>
              <w:rPr>
                <w:rFonts w:ascii="Times New Roman" w:hAnsi="Times New Roman" w:cs="Times New Roman"/>
                <w:sz w:val="22"/>
                <w:szCs w:val="22"/>
                <w:lang w:val="mn-MN"/>
              </w:rPr>
            </w:pPr>
            <w:r w:rsidRPr="00C83BC3">
              <w:rPr>
                <w:rFonts w:ascii="Times New Roman" w:hAnsi="Times New Roman" w:cs="Times New Roman"/>
                <w:sz w:val="22"/>
                <w:szCs w:val="22"/>
                <w:lang w:val="mn-MN"/>
              </w:rPr>
              <w:t>2</w:t>
            </w:r>
          </w:p>
        </w:tc>
        <w:tc>
          <w:tcPr>
            <w:tcW w:w="0" w:type="dxa"/>
            <w:vMerge w:val="restart"/>
            <w:vAlign w:val="center"/>
          </w:tcPr>
          <w:p w14:paraId="0DF8EC7D" w14:textId="77777777" w:rsidR="003E0958" w:rsidRPr="00C83BC3" w:rsidRDefault="00000000" w:rsidP="00CE2485">
            <w:pPr>
              <w:spacing w:after="0" w:line="240" w:lineRule="auto"/>
              <w:ind w:left="57" w:right="57"/>
              <w:rPr>
                <w:rFonts w:ascii="Times New Roman" w:hAnsi="Times New Roman" w:cs="Times New Roman"/>
                <w:sz w:val="22"/>
                <w:szCs w:val="22"/>
                <w:lang w:val="mn-MN"/>
              </w:rPr>
            </w:pPr>
            <w:r w:rsidRPr="00C83BC3">
              <w:rPr>
                <w:rFonts w:ascii="Times New Roman" w:hAnsi="Times New Roman" w:cs="Times New Roman"/>
                <w:sz w:val="22"/>
                <w:szCs w:val="22"/>
                <w:lang w:val="mn-MN"/>
              </w:rPr>
              <w:t xml:space="preserve">4.4. Хөрш </w:t>
            </w:r>
            <w:r w:rsidRPr="00C83BC3">
              <w:rPr>
                <w:rFonts w:ascii="Times New Roman" w:hAnsi="Times New Roman" w:cs="Times New Roman"/>
                <w:sz w:val="22"/>
                <w:szCs w:val="22"/>
                <w:lang w:val="mn-MN"/>
              </w:rPr>
              <w:lastRenderedPageBreak/>
              <w:t xml:space="preserve">орнуудтай хамтран эдийн засгийн коридорыг хөгжүүлэх, </w:t>
            </w:r>
            <w:proofErr w:type="spellStart"/>
            <w:r w:rsidRPr="00C83BC3">
              <w:rPr>
                <w:rFonts w:ascii="Times New Roman" w:hAnsi="Times New Roman" w:cs="Times New Roman"/>
                <w:sz w:val="22"/>
                <w:szCs w:val="22"/>
                <w:lang w:val="mn-MN"/>
              </w:rPr>
              <w:t>Евразийн</w:t>
            </w:r>
            <w:proofErr w:type="spellEnd"/>
            <w:r w:rsidRPr="00C83BC3">
              <w:rPr>
                <w:rFonts w:ascii="Times New Roman" w:hAnsi="Times New Roman" w:cs="Times New Roman"/>
                <w:sz w:val="22"/>
                <w:szCs w:val="22"/>
                <w:lang w:val="mn-MN"/>
              </w:rPr>
              <w:t xml:space="preserve"> эдийн засгийн холбоо, Бүгд Найрамдах Солонгос Улстай чөлөөт худалдааны хэлэлцээрийг байгуулах эсэх талаар урьдчилсан судалгааг эхлүүлнэ.</w:t>
            </w:r>
          </w:p>
        </w:tc>
        <w:tc>
          <w:tcPr>
            <w:tcW w:w="0" w:type="dxa"/>
          </w:tcPr>
          <w:p w14:paraId="21953394" w14:textId="77777777" w:rsidR="003E0958" w:rsidRPr="00C83BC3" w:rsidRDefault="00000000" w:rsidP="00CE2485">
            <w:pPr>
              <w:spacing w:after="0" w:line="240" w:lineRule="auto"/>
              <w:ind w:left="57" w:right="57"/>
              <w:rPr>
                <w:rFonts w:ascii="Times New Roman" w:hAnsi="Times New Roman" w:cs="Times New Roman"/>
                <w:sz w:val="22"/>
                <w:szCs w:val="22"/>
                <w:lang w:val="mn-MN"/>
              </w:rPr>
            </w:pPr>
            <w:r w:rsidRPr="00C83BC3">
              <w:rPr>
                <w:rFonts w:ascii="Times New Roman" w:hAnsi="Times New Roman" w:cs="Times New Roman"/>
                <w:sz w:val="22"/>
                <w:szCs w:val="22"/>
                <w:lang w:val="mn-MN"/>
              </w:rPr>
              <w:lastRenderedPageBreak/>
              <w:t xml:space="preserve">4.4.4. </w:t>
            </w:r>
            <w:r w:rsidRPr="00C83BC3">
              <w:rPr>
                <w:rFonts w:ascii="Times New Roman" w:hAnsi="Times New Roman" w:cs="Times New Roman"/>
                <w:sz w:val="22"/>
                <w:szCs w:val="22"/>
                <w:lang w:val="mn-MN"/>
              </w:rPr>
              <w:lastRenderedPageBreak/>
              <w:t>Экспортыг дэмжих, худалдааг хөнгөвчлөхөд стандартчилал, тохирлын үнэлгээний бодлогоор дэмжлэг үзүүлнэ.</w:t>
            </w:r>
          </w:p>
        </w:tc>
        <w:tc>
          <w:tcPr>
            <w:tcW w:w="0" w:type="dxa"/>
          </w:tcPr>
          <w:p w14:paraId="73E88922" w14:textId="77777777" w:rsidR="003E0958" w:rsidRPr="00C83BC3" w:rsidRDefault="00000000" w:rsidP="00CE2485">
            <w:pPr>
              <w:spacing w:after="0" w:line="240" w:lineRule="auto"/>
              <w:ind w:left="57" w:right="57"/>
              <w:jc w:val="center"/>
              <w:rPr>
                <w:rFonts w:ascii="Times New Roman" w:hAnsi="Times New Roman" w:cs="Times New Roman"/>
                <w:sz w:val="22"/>
                <w:szCs w:val="22"/>
                <w:lang w:val="mn-MN"/>
              </w:rPr>
            </w:pPr>
            <w:r w:rsidRPr="00C83BC3">
              <w:rPr>
                <w:rFonts w:ascii="Times New Roman" w:hAnsi="Times New Roman" w:cs="Times New Roman"/>
                <w:sz w:val="22"/>
                <w:szCs w:val="22"/>
                <w:lang w:val="mn-MN"/>
              </w:rPr>
              <w:lastRenderedPageBreak/>
              <w:t xml:space="preserve">2021 - </w:t>
            </w:r>
            <w:r w:rsidRPr="00C83BC3">
              <w:rPr>
                <w:rFonts w:ascii="Times New Roman" w:hAnsi="Times New Roman" w:cs="Times New Roman"/>
                <w:sz w:val="22"/>
                <w:szCs w:val="22"/>
                <w:lang w:val="mn-MN"/>
              </w:rPr>
              <w:lastRenderedPageBreak/>
              <w:t>2025</w:t>
            </w:r>
          </w:p>
        </w:tc>
        <w:tc>
          <w:tcPr>
            <w:tcW w:w="0" w:type="dxa"/>
          </w:tcPr>
          <w:p w14:paraId="3AE1CB6C" w14:textId="77777777" w:rsidR="003E0958" w:rsidRPr="00C83BC3" w:rsidRDefault="00000000" w:rsidP="00CE2485">
            <w:pPr>
              <w:spacing w:after="0" w:line="240" w:lineRule="auto"/>
              <w:ind w:left="57" w:right="57"/>
              <w:rPr>
                <w:rFonts w:ascii="Times New Roman" w:hAnsi="Times New Roman" w:cs="Times New Roman"/>
                <w:sz w:val="22"/>
                <w:szCs w:val="22"/>
                <w:lang w:val="mn-MN"/>
              </w:rPr>
            </w:pPr>
            <w:r w:rsidRPr="00C83BC3">
              <w:rPr>
                <w:rFonts w:ascii="Times New Roman" w:hAnsi="Times New Roman" w:cs="Times New Roman"/>
                <w:sz w:val="22"/>
                <w:szCs w:val="22"/>
                <w:lang w:val="mn-MN"/>
              </w:rPr>
              <w:lastRenderedPageBreak/>
              <w:t>-</w:t>
            </w:r>
          </w:p>
        </w:tc>
        <w:tc>
          <w:tcPr>
            <w:tcW w:w="0" w:type="dxa"/>
          </w:tcPr>
          <w:p w14:paraId="0345C1A2" w14:textId="77777777" w:rsidR="003E0958" w:rsidRPr="00C83BC3" w:rsidRDefault="003E0958" w:rsidP="00CE2485">
            <w:pPr>
              <w:spacing w:after="0" w:line="240" w:lineRule="auto"/>
              <w:ind w:left="57" w:right="57"/>
              <w:rPr>
                <w:rFonts w:ascii="Times New Roman" w:hAnsi="Times New Roman" w:cs="Times New Roman"/>
                <w:sz w:val="22"/>
                <w:szCs w:val="22"/>
                <w:lang w:val="mn-MN"/>
              </w:rPr>
            </w:pPr>
          </w:p>
        </w:tc>
        <w:tc>
          <w:tcPr>
            <w:tcW w:w="0" w:type="dxa"/>
          </w:tcPr>
          <w:p w14:paraId="5F575806" w14:textId="5A476150" w:rsidR="0079164E" w:rsidRPr="00C83BC3" w:rsidRDefault="002A2AEC" w:rsidP="00C42C2E">
            <w:pPr>
              <w:pStyle w:val="ListParagraph"/>
              <w:numPr>
                <w:ilvl w:val="0"/>
                <w:numId w:val="2"/>
              </w:numPr>
              <w:ind w:right="57"/>
              <w:jc w:val="both"/>
              <w:rPr>
                <w:rFonts w:ascii="Times New Roman" w:hAnsi="Times New Roman"/>
                <w:sz w:val="22"/>
                <w:szCs w:val="22"/>
                <w:lang w:val="mn-MN"/>
              </w:rPr>
            </w:pPr>
            <w:r w:rsidRPr="00C83BC3">
              <w:rPr>
                <w:rFonts w:ascii="Times New Roman" w:hAnsi="Times New Roman"/>
                <w:sz w:val="22"/>
                <w:szCs w:val="22"/>
                <w:lang w:val="mn-MN"/>
              </w:rPr>
              <w:t xml:space="preserve">Монгол Улс, Бүгд Найрамдах Солонгос Улс </w:t>
            </w:r>
            <w:r w:rsidRPr="00C83BC3">
              <w:rPr>
                <w:rFonts w:ascii="Times New Roman" w:hAnsi="Times New Roman"/>
                <w:sz w:val="22"/>
                <w:szCs w:val="22"/>
                <w:lang w:val="mn-MN"/>
              </w:rPr>
              <w:lastRenderedPageBreak/>
              <w:t>хоорондын Эдийн засгийн түншлэлийн тухай хэлэлцээр байгуулах Монголын талын Хэлэлцээний баг байгуулах тухай Эдийн засаг, хөгжлийн яамнаас ирүүлсэн тушаалын төсөлтэй танилцан Худалдаан дахь техникийн саад тотгор бүлгийн ажлын хэсэг болон Барааны худалдааны бүлгийн ажлын хэсэгт төлөөллөө оролцуулах саналыг 2023</w:t>
            </w:r>
            <w:r w:rsidR="00E30F9A">
              <w:rPr>
                <w:rFonts w:ascii="Times New Roman" w:hAnsi="Times New Roman"/>
                <w:sz w:val="22"/>
                <w:szCs w:val="22"/>
                <w:lang w:val="mn-MN"/>
              </w:rPr>
              <w:t xml:space="preserve">.04.25-ны </w:t>
            </w:r>
            <w:r w:rsidRPr="00C83BC3">
              <w:rPr>
                <w:rFonts w:ascii="Times New Roman" w:hAnsi="Times New Roman"/>
                <w:sz w:val="22"/>
                <w:szCs w:val="22"/>
                <w:lang w:val="mn-MN"/>
              </w:rPr>
              <w:t>өдрийн 01/337 дугаартай албан бичгийг хүргүүлсэн.</w:t>
            </w:r>
            <w:r w:rsidR="00C42C2E" w:rsidRPr="00C83BC3">
              <w:rPr>
                <w:rFonts w:ascii="Times New Roman" w:hAnsi="Times New Roman"/>
                <w:sz w:val="22"/>
                <w:szCs w:val="22"/>
                <w:lang w:val="mn-MN"/>
              </w:rPr>
              <w:t xml:space="preserve"> </w:t>
            </w:r>
            <w:r w:rsidR="0072717F" w:rsidRPr="00C83BC3">
              <w:rPr>
                <w:rFonts w:ascii="Times New Roman" w:hAnsi="Times New Roman"/>
                <w:sz w:val="22"/>
                <w:szCs w:val="22"/>
                <w:lang w:val="mn-MN"/>
              </w:rPr>
              <w:t>Худалдаан дахь техникийн саад тотгор бүлгийн ажлын хэсгийн анхны хуралд оролц</w:t>
            </w:r>
            <w:r w:rsidR="00C42C2E" w:rsidRPr="00C83BC3">
              <w:rPr>
                <w:rFonts w:ascii="Times New Roman" w:hAnsi="Times New Roman"/>
                <w:sz w:val="22"/>
                <w:szCs w:val="22"/>
                <w:lang w:val="mn-MN"/>
              </w:rPr>
              <w:t xml:space="preserve">сон </w:t>
            </w:r>
            <w:r w:rsidR="004D41AB" w:rsidRPr="00C83BC3">
              <w:rPr>
                <w:rFonts w:ascii="Times New Roman" w:hAnsi="Times New Roman"/>
                <w:sz w:val="22"/>
                <w:szCs w:val="22"/>
                <w:lang w:val="mn-MN"/>
              </w:rPr>
              <w:t xml:space="preserve">ба </w:t>
            </w:r>
            <w:proofErr w:type="spellStart"/>
            <w:r w:rsidR="0072717F" w:rsidRPr="00C83BC3">
              <w:rPr>
                <w:rFonts w:ascii="Times New Roman" w:hAnsi="Times New Roman"/>
                <w:sz w:val="22"/>
                <w:szCs w:val="22"/>
                <w:lang w:val="mn-MN"/>
              </w:rPr>
              <w:t>ЭЗХЯ</w:t>
            </w:r>
            <w:proofErr w:type="spellEnd"/>
            <w:r w:rsidR="0072717F" w:rsidRPr="00C83BC3">
              <w:rPr>
                <w:rFonts w:ascii="Times New Roman" w:hAnsi="Times New Roman"/>
                <w:sz w:val="22"/>
                <w:szCs w:val="22"/>
                <w:lang w:val="mn-MN"/>
              </w:rPr>
              <w:t>-аас</w:t>
            </w:r>
            <w:r w:rsidR="00C42C2E" w:rsidRPr="00C83BC3">
              <w:rPr>
                <w:rFonts w:ascii="Times New Roman" w:hAnsi="Times New Roman"/>
                <w:sz w:val="22"/>
                <w:szCs w:val="22"/>
                <w:lang w:val="mn-MN"/>
              </w:rPr>
              <w:t xml:space="preserve"> </w:t>
            </w:r>
            <w:r w:rsidR="0072717F" w:rsidRPr="00C83BC3">
              <w:rPr>
                <w:rFonts w:ascii="Times New Roman" w:hAnsi="Times New Roman"/>
                <w:sz w:val="22"/>
                <w:szCs w:val="22"/>
                <w:lang w:val="mn-MN"/>
              </w:rPr>
              <w:t>эхний байдлаар 2023.12.18-</w:t>
            </w:r>
            <w:r w:rsidR="00C42C2E" w:rsidRPr="00C83BC3">
              <w:rPr>
                <w:rFonts w:ascii="Times New Roman" w:hAnsi="Times New Roman"/>
                <w:sz w:val="22"/>
                <w:szCs w:val="22"/>
                <w:lang w:val="mn-MN"/>
              </w:rPr>
              <w:t>2023.12.</w:t>
            </w:r>
            <w:r w:rsidR="0072717F" w:rsidRPr="00C83BC3">
              <w:rPr>
                <w:rFonts w:ascii="Times New Roman" w:hAnsi="Times New Roman"/>
                <w:sz w:val="22"/>
                <w:szCs w:val="22"/>
                <w:lang w:val="mn-MN"/>
              </w:rPr>
              <w:t xml:space="preserve">20-ны өдрүүдэд хэлэлцээ хийх ажлыг зохион байгуулахаар ажиллаж байна. </w:t>
            </w:r>
          </w:p>
          <w:p w14:paraId="02CFF212" w14:textId="08AC4AC6" w:rsidR="002A2AEC" w:rsidRPr="00C83BC3" w:rsidRDefault="002A2AEC" w:rsidP="0079164E">
            <w:pPr>
              <w:pStyle w:val="ListParagraph"/>
              <w:numPr>
                <w:ilvl w:val="0"/>
                <w:numId w:val="9"/>
              </w:numPr>
              <w:ind w:right="57"/>
              <w:jc w:val="both"/>
              <w:rPr>
                <w:rFonts w:ascii="Times New Roman" w:hAnsi="Times New Roman"/>
                <w:sz w:val="22"/>
                <w:szCs w:val="22"/>
                <w:lang w:val="mn-MN"/>
              </w:rPr>
            </w:pPr>
            <w:r w:rsidRPr="00C83BC3">
              <w:rPr>
                <w:rFonts w:ascii="Times New Roman" w:hAnsi="Times New Roman"/>
                <w:sz w:val="22"/>
                <w:szCs w:val="22"/>
                <w:lang w:val="mn-MN"/>
              </w:rPr>
              <w:t>Өвөр Монголын Өөртөө Засах Орны Хөх хотод 2023</w:t>
            </w:r>
            <w:r w:rsidR="005359CE">
              <w:rPr>
                <w:rFonts w:ascii="Times New Roman" w:hAnsi="Times New Roman"/>
                <w:sz w:val="22"/>
                <w:szCs w:val="22"/>
                <w:lang w:val="mn-MN"/>
              </w:rPr>
              <w:t>.09.06-2023.06.10</w:t>
            </w:r>
            <w:r w:rsidRPr="00C83BC3">
              <w:rPr>
                <w:rFonts w:ascii="Times New Roman" w:hAnsi="Times New Roman"/>
                <w:sz w:val="22"/>
                <w:szCs w:val="22"/>
                <w:lang w:val="mn-MN"/>
              </w:rPr>
              <w:t>-ны өдрүүдэд “Хятад Монголын 4 дэх удаагийн Экспо” хурал, Хятад Монголын Олон Улсын Стандартчиллын 2 дахь удаагийн чуулга ба Стандартын амжилтын үзэсгэлэн 2023</w:t>
            </w:r>
            <w:r w:rsidR="005359CE">
              <w:rPr>
                <w:rFonts w:ascii="Times New Roman" w:hAnsi="Times New Roman"/>
                <w:sz w:val="22"/>
                <w:szCs w:val="22"/>
                <w:lang w:val="mn-MN"/>
              </w:rPr>
              <w:t>.09.07-ны ө</w:t>
            </w:r>
            <w:r w:rsidRPr="00C83BC3">
              <w:rPr>
                <w:rFonts w:ascii="Times New Roman" w:hAnsi="Times New Roman"/>
                <w:sz w:val="22"/>
                <w:szCs w:val="22"/>
                <w:lang w:val="mn-MN"/>
              </w:rPr>
              <w:t xml:space="preserve">дөр </w:t>
            </w:r>
            <w:r w:rsidR="005359CE">
              <w:rPr>
                <w:rFonts w:ascii="Times New Roman" w:hAnsi="Times New Roman"/>
                <w:sz w:val="22"/>
                <w:szCs w:val="22"/>
                <w:lang w:val="mn-MN"/>
              </w:rPr>
              <w:t>ӨМӨЗО-ны З</w:t>
            </w:r>
            <w:r w:rsidRPr="00C83BC3">
              <w:rPr>
                <w:rFonts w:ascii="Times New Roman" w:hAnsi="Times New Roman"/>
                <w:sz w:val="22"/>
                <w:szCs w:val="22"/>
                <w:lang w:val="mn-MN"/>
              </w:rPr>
              <w:t xml:space="preserve">ах зээлийн хяналтын газар тус тус зохион байгуулагдсан бөгөөд Стандарт, хэмжил зүйн газраас нийт 9 төлөөлөл оролцсон. </w:t>
            </w:r>
          </w:p>
          <w:p w14:paraId="3F39D0B0" w14:textId="29D46E53" w:rsidR="00C3065E" w:rsidRPr="00C83BC3" w:rsidRDefault="002A2AEC" w:rsidP="00C3065E">
            <w:pPr>
              <w:pStyle w:val="ListParagraph"/>
              <w:numPr>
                <w:ilvl w:val="0"/>
                <w:numId w:val="1"/>
              </w:numPr>
              <w:ind w:right="57"/>
              <w:jc w:val="both"/>
              <w:rPr>
                <w:rFonts w:ascii="Times New Roman" w:hAnsi="Times New Roman"/>
                <w:sz w:val="22"/>
                <w:szCs w:val="22"/>
                <w:lang w:val="mn-MN"/>
              </w:rPr>
            </w:pPr>
            <w:r w:rsidRPr="00C83BC3">
              <w:rPr>
                <w:rFonts w:ascii="Times New Roman" w:hAnsi="Times New Roman"/>
                <w:sz w:val="22"/>
                <w:szCs w:val="22"/>
                <w:lang w:val="mn-MN"/>
              </w:rPr>
              <w:t xml:space="preserve">Монгол Улсын </w:t>
            </w:r>
            <w:r w:rsidRPr="00C83BC3">
              <w:rPr>
                <w:rFonts w:ascii="Times New Roman" w:eastAsia="Times New Roman" w:hAnsi="Times New Roman"/>
                <w:sz w:val="22"/>
                <w:szCs w:val="22"/>
                <w:lang w:val="mn-MN"/>
              </w:rPr>
              <w:t xml:space="preserve">Засгийн газраас ОХУ-аас БНХАУ руу Монгол Улсын нутгаар дамжин өнгөрөх байгалийн хийн хоолойн “Сибирийн хүч-2” төслийг хэрэгжүүлэхийг дэмжсэн. Иймд </w:t>
            </w:r>
            <w:r w:rsidRPr="00C83BC3">
              <w:rPr>
                <w:rFonts w:ascii="Times New Roman" w:hAnsi="Times New Roman"/>
                <w:sz w:val="22"/>
                <w:szCs w:val="22"/>
                <w:lang w:val="mn-MN"/>
              </w:rPr>
              <w:t>Өвөр Монголын Чанар ба стандартын хүрээлэнгээс байгалийн хийн хоолойн стандартыг боловсруулах ажлын хэсэгт хамтарч ажиллах талаар ирүүлсэн хүсэлтэд бүхий л талаар хамтран ажиллахад бэлэн байгааг илэрхийлэн 2023</w:t>
            </w:r>
            <w:r w:rsidR="005359CE">
              <w:rPr>
                <w:rFonts w:ascii="Times New Roman" w:hAnsi="Times New Roman"/>
                <w:sz w:val="22"/>
                <w:szCs w:val="22"/>
                <w:lang w:val="mn-MN"/>
              </w:rPr>
              <w:t>.05.15-</w:t>
            </w:r>
            <w:r w:rsidRPr="00C83BC3">
              <w:rPr>
                <w:rFonts w:ascii="Times New Roman" w:hAnsi="Times New Roman"/>
                <w:sz w:val="22"/>
                <w:szCs w:val="22"/>
                <w:lang w:val="mn-MN"/>
              </w:rPr>
              <w:t>ны өдөр хариуг хүргүүлсэн</w:t>
            </w:r>
            <w:r w:rsidR="002D372D" w:rsidRPr="00C83BC3">
              <w:rPr>
                <w:rFonts w:ascii="Times New Roman" w:hAnsi="Times New Roman"/>
                <w:sz w:val="22"/>
                <w:szCs w:val="22"/>
                <w:lang w:val="mn-MN"/>
              </w:rPr>
              <w:t>.</w:t>
            </w:r>
          </w:p>
          <w:p w14:paraId="3CD3AD84" w14:textId="3332CEF1" w:rsidR="00F24184" w:rsidRPr="00C83BC3" w:rsidRDefault="00C3065E" w:rsidP="00C3065E">
            <w:pPr>
              <w:pStyle w:val="ListParagraph"/>
              <w:ind w:left="417" w:right="57"/>
              <w:jc w:val="both"/>
              <w:rPr>
                <w:rFonts w:ascii="Times New Roman" w:hAnsi="Times New Roman"/>
                <w:sz w:val="22"/>
                <w:szCs w:val="22"/>
                <w:lang w:val="mn-MN"/>
              </w:rPr>
            </w:pPr>
            <w:r w:rsidRPr="00C83BC3">
              <w:rPr>
                <w:rFonts w:ascii="Times New Roman" w:eastAsia="Times New Roman" w:hAnsi="Times New Roman"/>
                <w:sz w:val="22"/>
                <w:szCs w:val="22"/>
                <w:lang w:val="mn-MN"/>
              </w:rPr>
              <w:t xml:space="preserve">Дээрх төслийн хүрээнд </w:t>
            </w:r>
            <w:r w:rsidR="00F24184" w:rsidRPr="00C83BC3">
              <w:rPr>
                <w:rFonts w:ascii="Times New Roman" w:eastAsia="Times New Roman" w:hAnsi="Times New Roman"/>
                <w:sz w:val="22"/>
                <w:szCs w:val="22"/>
                <w:lang w:val="mn-MN"/>
              </w:rPr>
              <w:t xml:space="preserve">2023 онд дараах стандартуудыг үндэсний болгон баталсан. Үүнд: </w:t>
            </w:r>
          </w:p>
          <w:p w14:paraId="57E4C26D" w14:textId="77777777" w:rsidR="00C3065E" w:rsidRPr="00C83BC3" w:rsidRDefault="00F24184" w:rsidP="00C3065E">
            <w:pPr>
              <w:pStyle w:val="ListParagraph"/>
              <w:numPr>
                <w:ilvl w:val="1"/>
                <w:numId w:val="1"/>
              </w:numPr>
              <w:ind w:right="57"/>
              <w:jc w:val="both"/>
              <w:rPr>
                <w:rFonts w:ascii="Times New Roman" w:hAnsi="Times New Roman"/>
                <w:color w:val="000000"/>
                <w:sz w:val="22"/>
                <w:szCs w:val="22"/>
                <w:shd w:val="clear" w:color="auto" w:fill="FFFFFF"/>
                <w:lang w:val="mn-MN"/>
              </w:rPr>
            </w:pPr>
            <w:r w:rsidRPr="00C83BC3">
              <w:rPr>
                <w:rFonts w:ascii="Times New Roman" w:hAnsi="Times New Roman"/>
                <w:color w:val="000000"/>
                <w:sz w:val="22"/>
                <w:szCs w:val="22"/>
                <w:shd w:val="clear" w:color="auto" w:fill="FFFFFF"/>
                <w:lang w:val="mn-MN"/>
              </w:rPr>
              <w:t xml:space="preserve">MNS GOST R 52954:2023, Газрын тосны бүтээгдэхүүн. Хийн </w:t>
            </w:r>
            <w:proofErr w:type="spellStart"/>
            <w:r w:rsidRPr="00C83BC3">
              <w:rPr>
                <w:rFonts w:ascii="Times New Roman" w:hAnsi="Times New Roman"/>
                <w:color w:val="000000"/>
                <w:sz w:val="22"/>
                <w:szCs w:val="22"/>
                <w:shd w:val="clear" w:color="auto" w:fill="FFFFFF"/>
                <w:lang w:val="mn-MN"/>
              </w:rPr>
              <w:t>турбинт</w:t>
            </w:r>
            <w:proofErr w:type="spellEnd"/>
            <w:r w:rsidRPr="00C83BC3">
              <w:rPr>
                <w:rFonts w:ascii="Times New Roman" w:hAnsi="Times New Roman"/>
                <w:color w:val="000000"/>
                <w:sz w:val="22"/>
                <w:szCs w:val="22"/>
                <w:shd w:val="clear" w:color="auto" w:fill="FFFFFF"/>
                <w:lang w:val="mn-MN"/>
              </w:rPr>
              <w:t xml:space="preserve"> хөдөлгүүрийн </w:t>
            </w:r>
            <w:r w:rsidRPr="00C83BC3">
              <w:rPr>
                <w:rFonts w:ascii="Times New Roman" w:hAnsi="Times New Roman"/>
                <w:color w:val="000000"/>
                <w:sz w:val="22"/>
                <w:szCs w:val="22"/>
                <w:shd w:val="clear" w:color="auto" w:fill="FFFFFF"/>
                <w:lang w:val="mn-MN"/>
              </w:rPr>
              <w:lastRenderedPageBreak/>
              <w:t>түлшний дулааны исэлдэлтийн тогтворжилт тодорхойлох</w:t>
            </w:r>
          </w:p>
          <w:p w14:paraId="17FE389C" w14:textId="77777777" w:rsidR="00C3065E" w:rsidRPr="00C83BC3" w:rsidRDefault="00F24184" w:rsidP="00C3065E">
            <w:pPr>
              <w:pStyle w:val="ListParagraph"/>
              <w:numPr>
                <w:ilvl w:val="1"/>
                <w:numId w:val="1"/>
              </w:numPr>
              <w:ind w:right="57"/>
              <w:jc w:val="both"/>
              <w:rPr>
                <w:rFonts w:ascii="Times New Roman" w:hAnsi="Times New Roman"/>
                <w:color w:val="000000"/>
                <w:sz w:val="22"/>
                <w:szCs w:val="22"/>
                <w:shd w:val="clear" w:color="auto" w:fill="FFFFFF"/>
                <w:lang w:val="mn-MN"/>
              </w:rPr>
            </w:pPr>
            <w:r w:rsidRPr="00C83BC3">
              <w:rPr>
                <w:rFonts w:ascii="Times New Roman" w:hAnsi="Times New Roman"/>
                <w:color w:val="000000"/>
                <w:sz w:val="22"/>
                <w:szCs w:val="22"/>
                <w:shd w:val="clear" w:color="auto" w:fill="FFFFFF"/>
                <w:lang w:val="mn-MN"/>
              </w:rPr>
              <w:t>MNS IEC 60034-16-2:2023, Эргэлдэгч цахилгаан машин 16-р хэсэг: Синхрон машины өдөөлтийн систем. 2-р бүлэг: Цахилгаан эрчим хүчний системийн судалгаанд зориулсан загвар</w:t>
            </w:r>
          </w:p>
          <w:p w14:paraId="1DFD8BF4" w14:textId="77777777" w:rsidR="00351C40" w:rsidRPr="00C83BC3" w:rsidRDefault="00F24184" w:rsidP="00351C40">
            <w:pPr>
              <w:pStyle w:val="ListParagraph"/>
              <w:numPr>
                <w:ilvl w:val="1"/>
                <w:numId w:val="1"/>
              </w:numPr>
              <w:ind w:right="57"/>
              <w:jc w:val="both"/>
              <w:rPr>
                <w:rFonts w:ascii="Times New Roman" w:hAnsi="Times New Roman"/>
                <w:color w:val="000000"/>
                <w:sz w:val="22"/>
                <w:szCs w:val="22"/>
                <w:shd w:val="clear" w:color="auto" w:fill="FFFFFF"/>
                <w:lang w:val="mn-MN"/>
              </w:rPr>
            </w:pPr>
            <w:r w:rsidRPr="00C83BC3">
              <w:rPr>
                <w:rFonts w:ascii="Times New Roman" w:eastAsia="Times New Roman" w:hAnsi="Times New Roman"/>
                <w:sz w:val="22"/>
                <w:szCs w:val="22"/>
                <w:lang w:val="mn-MN"/>
              </w:rPr>
              <w:t xml:space="preserve">MNS 6995 : 2023 Газрын тос, газрын тосны бүтээгдэхүүний масс. Хэмжил гүйцэтгэхэд тавих ерөнхий шаардлага </w:t>
            </w:r>
          </w:p>
          <w:p w14:paraId="02EDC8B7" w14:textId="19B709BE" w:rsidR="00CD7776" w:rsidRPr="00C83BC3" w:rsidRDefault="00351C40" w:rsidP="006E5C29">
            <w:pPr>
              <w:ind w:left="421" w:right="57"/>
              <w:jc w:val="both"/>
              <w:rPr>
                <w:rFonts w:ascii="Times New Roman" w:hAnsi="Times New Roman"/>
                <w:color w:val="000000"/>
                <w:sz w:val="22"/>
                <w:szCs w:val="22"/>
                <w:shd w:val="clear" w:color="auto" w:fill="FFFFFF"/>
                <w:lang w:val="mn-MN"/>
              </w:rPr>
            </w:pPr>
            <w:r w:rsidRPr="00C83BC3">
              <w:rPr>
                <w:rFonts w:ascii="Times New Roman" w:hAnsi="Times New Roman"/>
                <w:sz w:val="22"/>
                <w:szCs w:val="22"/>
                <w:lang w:val="mn-MN"/>
              </w:rPr>
              <w:t>ОХУ-ын “</w:t>
            </w:r>
            <w:proofErr w:type="spellStart"/>
            <w:r w:rsidRPr="00C83BC3">
              <w:rPr>
                <w:rFonts w:ascii="Times New Roman" w:hAnsi="Times New Roman"/>
                <w:sz w:val="22"/>
                <w:szCs w:val="22"/>
                <w:lang w:val="mn-MN"/>
              </w:rPr>
              <w:t>Газпром</w:t>
            </w:r>
            <w:proofErr w:type="spellEnd"/>
            <w:r w:rsidRPr="00C83BC3">
              <w:rPr>
                <w:rFonts w:ascii="Times New Roman" w:hAnsi="Times New Roman"/>
                <w:sz w:val="22"/>
                <w:szCs w:val="22"/>
                <w:lang w:val="mn-MN"/>
              </w:rPr>
              <w:t xml:space="preserve">” </w:t>
            </w:r>
            <w:proofErr w:type="spellStart"/>
            <w:r w:rsidR="00F24184" w:rsidRPr="00C83BC3">
              <w:rPr>
                <w:rFonts w:ascii="Times New Roman" w:hAnsi="Times New Roman"/>
                <w:sz w:val="22"/>
                <w:szCs w:val="22"/>
                <w:lang w:val="mn-MN"/>
              </w:rPr>
              <w:t>НХН</w:t>
            </w:r>
            <w:proofErr w:type="spellEnd"/>
            <w:r w:rsidRPr="00C83BC3">
              <w:rPr>
                <w:rFonts w:ascii="Times New Roman" w:hAnsi="Times New Roman"/>
                <w:sz w:val="22"/>
                <w:szCs w:val="22"/>
                <w:lang w:val="mn-MN"/>
              </w:rPr>
              <w:t>(Нээлттэй хувьцаат нийгэмлэг)-</w:t>
            </w:r>
            <w:r w:rsidR="00F24184" w:rsidRPr="00C83BC3">
              <w:rPr>
                <w:rFonts w:ascii="Times New Roman" w:hAnsi="Times New Roman"/>
                <w:sz w:val="22"/>
                <w:szCs w:val="22"/>
                <w:lang w:val="mn-MN"/>
              </w:rPr>
              <w:t>ийн Байгалийн хийн зураг төслийн үед хэрэглэх байгууллагын 19 стандартыг “ЭРДЭНЭС ГАЗ” төсөлд хэрэглэхийг бүртгэн ав</w:t>
            </w:r>
            <w:r w:rsidR="00C3065E" w:rsidRPr="00C83BC3">
              <w:rPr>
                <w:rFonts w:ascii="Times New Roman" w:hAnsi="Times New Roman"/>
                <w:sz w:val="22"/>
                <w:szCs w:val="22"/>
                <w:lang w:val="mn-MN"/>
              </w:rPr>
              <w:t xml:space="preserve">сан. </w:t>
            </w:r>
          </w:p>
          <w:p w14:paraId="1ADF218A" w14:textId="60D7F300" w:rsidR="00BC2CFD" w:rsidRPr="004A5892" w:rsidRDefault="00F24184" w:rsidP="00C942D8">
            <w:pPr>
              <w:spacing w:after="0"/>
              <w:ind w:left="57" w:right="57"/>
              <w:jc w:val="both"/>
              <w:rPr>
                <w:rFonts w:ascii="Times New Roman" w:hAnsi="Times New Roman"/>
                <w:color w:val="FF0000"/>
                <w:sz w:val="22"/>
                <w:szCs w:val="22"/>
                <w:lang w:val="mn-MN"/>
              </w:rPr>
            </w:pPr>
            <w:r w:rsidRPr="004A5892">
              <w:rPr>
                <w:rFonts w:ascii="Times New Roman" w:eastAsia="Times New Roman" w:hAnsi="Times New Roman"/>
                <w:color w:val="000000"/>
                <w:sz w:val="22"/>
                <w:szCs w:val="22"/>
                <w:lang w:val="mn-MN"/>
              </w:rPr>
              <w:t>ОХУ-ын Холбооны техникийн зохицуулалт, хэмжил зүйн агентлаг (ROSSTANDART) -ийн хоорондын 2023-2025 онд хамтран ажиллах үйл ажиллагааны төлөвлөгөөг 2023</w:t>
            </w:r>
            <w:r w:rsidR="00540F40" w:rsidRPr="004A5892">
              <w:rPr>
                <w:rFonts w:ascii="Times New Roman" w:eastAsia="Times New Roman" w:hAnsi="Times New Roman"/>
                <w:color w:val="000000"/>
                <w:sz w:val="22"/>
                <w:szCs w:val="22"/>
                <w:lang w:val="mn-MN"/>
              </w:rPr>
              <w:t>.08.10</w:t>
            </w:r>
            <w:r w:rsidRPr="004A5892">
              <w:rPr>
                <w:rFonts w:ascii="Times New Roman" w:eastAsia="Times New Roman" w:hAnsi="Times New Roman"/>
                <w:color w:val="000000"/>
                <w:sz w:val="22"/>
                <w:szCs w:val="22"/>
                <w:lang w:val="mn-MN"/>
              </w:rPr>
              <w:t xml:space="preserve">-ны өдөр байгуулсан. Тус үйл ажиллагааны төлөвлөгөөнд </w:t>
            </w:r>
            <w:r w:rsidRPr="004A5892">
              <w:rPr>
                <w:rFonts w:ascii="Times New Roman" w:hAnsi="Times New Roman"/>
                <w:sz w:val="22"/>
                <w:szCs w:val="22"/>
                <w:lang w:val="mn-MN"/>
              </w:rPr>
              <w:t>худалдаан дахь техникийн саад тотгорыг бууруулахын тулд харилцан стандарт, баримт бичиг, мэдээллийг солилцохоор тохирсон</w:t>
            </w:r>
            <w:r w:rsidR="00540F40" w:rsidRPr="004A5892">
              <w:rPr>
                <w:rFonts w:ascii="Times New Roman" w:hAnsi="Times New Roman"/>
                <w:sz w:val="22"/>
                <w:szCs w:val="22"/>
                <w:lang w:val="mn-MN"/>
              </w:rPr>
              <w:t xml:space="preserve"> ба энэ а</w:t>
            </w:r>
            <w:r w:rsidRPr="004A5892">
              <w:rPr>
                <w:rFonts w:ascii="Times New Roman" w:hAnsi="Times New Roman"/>
                <w:sz w:val="22"/>
                <w:szCs w:val="22"/>
                <w:lang w:val="mn-MN"/>
              </w:rPr>
              <w:t>жлын хүрээнд ОХУ-ын 49400 гаруй стандарт баримт бичгийг хүлээн ав</w:t>
            </w:r>
            <w:r w:rsidR="0072717F" w:rsidRPr="004A5892">
              <w:rPr>
                <w:rFonts w:ascii="Times New Roman" w:hAnsi="Times New Roman"/>
                <w:sz w:val="22"/>
                <w:szCs w:val="22"/>
                <w:lang w:val="mn-MN"/>
              </w:rPr>
              <w:t xml:space="preserve">сан. </w:t>
            </w:r>
          </w:p>
        </w:tc>
        <w:tc>
          <w:tcPr>
            <w:tcW w:w="0" w:type="dxa"/>
            <w:vAlign w:val="center"/>
          </w:tcPr>
          <w:p w14:paraId="7D1669C5" w14:textId="77777777" w:rsidR="003E0958" w:rsidRPr="00C83BC3" w:rsidRDefault="007A5330" w:rsidP="00CE2485">
            <w:pPr>
              <w:spacing w:after="0" w:line="240" w:lineRule="auto"/>
              <w:ind w:left="57" w:right="57"/>
              <w:jc w:val="center"/>
              <w:rPr>
                <w:rFonts w:ascii="Times New Roman" w:hAnsi="Times New Roman" w:cs="Times New Roman"/>
                <w:sz w:val="22"/>
                <w:szCs w:val="22"/>
                <w:lang w:val="mn-MN"/>
              </w:rPr>
            </w:pPr>
            <w:r w:rsidRPr="00C83BC3">
              <w:rPr>
                <w:rFonts w:ascii="Times New Roman" w:hAnsi="Times New Roman" w:cs="Times New Roman"/>
                <w:sz w:val="22"/>
                <w:szCs w:val="22"/>
                <w:lang w:val="mn-MN"/>
              </w:rPr>
              <w:lastRenderedPageBreak/>
              <w:t>-</w:t>
            </w:r>
          </w:p>
        </w:tc>
      </w:tr>
    </w:tbl>
    <w:p w14:paraId="619DA324" w14:textId="77777777" w:rsidR="00946524" w:rsidRPr="00C83BC3" w:rsidRDefault="00946524">
      <w:pPr>
        <w:rPr>
          <w:rFonts w:ascii="Times New Roman" w:hAnsi="Times New Roman" w:cs="Times New Roman"/>
          <w:sz w:val="22"/>
          <w:szCs w:val="22"/>
          <w:lang w:val="mn-MN"/>
        </w:rPr>
      </w:pPr>
    </w:p>
    <w:sectPr w:rsidR="00946524" w:rsidRPr="00C83BC3">
      <w:pgSz w:w="16787" w:h="1187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8A3"/>
    <w:multiLevelType w:val="hybridMultilevel"/>
    <w:tmpl w:val="8BA000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CFC1D24"/>
    <w:multiLevelType w:val="hybridMultilevel"/>
    <w:tmpl w:val="41C474F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27162D1D"/>
    <w:multiLevelType w:val="hybridMultilevel"/>
    <w:tmpl w:val="E2DA42DC"/>
    <w:lvl w:ilvl="0" w:tplc="12662F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3" w15:restartNumberingAfterBreak="0">
    <w:nsid w:val="3C444614"/>
    <w:multiLevelType w:val="hybridMultilevel"/>
    <w:tmpl w:val="533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0263F"/>
    <w:multiLevelType w:val="hybridMultilevel"/>
    <w:tmpl w:val="55E4671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6C8861A4"/>
    <w:multiLevelType w:val="hybridMultilevel"/>
    <w:tmpl w:val="3EB4FC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6DFF2499"/>
    <w:multiLevelType w:val="hybridMultilevel"/>
    <w:tmpl w:val="21AE8EB0"/>
    <w:lvl w:ilvl="0" w:tplc="04090001">
      <w:start w:val="1"/>
      <w:numFmt w:val="bullet"/>
      <w:lvlText w:val=""/>
      <w:lvlJc w:val="left"/>
      <w:pPr>
        <w:ind w:left="417" w:hanging="360"/>
      </w:pPr>
      <w:rPr>
        <w:rFonts w:ascii="Symbol" w:hAnsi="Symbol" w:hint="default"/>
      </w:rPr>
    </w:lvl>
    <w:lvl w:ilvl="1" w:tplc="04090001">
      <w:start w:val="1"/>
      <w:numFmt w:val="bullet"/>
      <w:lvlText w:val=""/>
      <w:lvlJc w:val="left"/>
      <w:pPr>
        <w:ind w:left="1137" w:hanging="360"/>
      </w:pPr>
      <w:rPr>
        <w:rFonts w:ascii="Symbol" w:hAnsi="Symbol" w:hint="default"/>
      </w:rPr>
    </w:lvl>
    <w:lvl w:ilvl="2" w:tplc="04090005">
      <w:start w:val="1"/>
      <w:numFmt w:val="bullet"/>
      <w:lvlText w:val=""/>
      <w:lvlJc w:val="left"/>
      <w:pPr>
        <w:ind w:left="1857" w:hanging="360"/>
      </w:pPr>
      <w:rPr>
        <w:rFonts w:ascii="Wingdings" w:hAnsi="Wingdings" w:hint="default"/>
      </w:rPr>
    </w:lvl>
    <w:lvl w:ilvl="3" w:tplc="0409000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7" w15:restartNumberingAfterBreak="0">
    <w:nsid w:val="74F52120"/>
    <w:multiLevelType w:val="hybridMultilevel"/>
    <w:tmpl w:val="13DC66EE"/>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76CE1F5B"/>
    <w:multiLevelType w:val="hybridMultilevel"/>
    <w:tmpl w:val="FAA64F7E"/>
    <w:lvl w:ilvl="0" w:tplc="12662F34">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942837242">
    <w:abstractNumId w:val="6"/>
  </w:num>
  <w:num w:numId="2" w16cid:durableId="111635716">
    <w:abstractNumId w:val="7"/>
  </w:num>
  <w:num w:numId="3" w16cid:durableId="236324656">
    <w:abstractNumId w:val="4"/>
  </w:num>
  <w:num w:numId="4" w16cid:durableId="1046300984">
    <w:abstractNumId w:val="3"/>
  </w:num>
  <w:num w:numId="5" w16cid:durableId="752556430">
    <w:abstractNumId w:val="0"/>
  </w:num>
  <w:num w:numId="6" w16cid:durableId="1074469519">
    <w:abstractNumId w:val="1"/>
  </w:num>
  <w:num w:numId="7" w16cid:durableId="26876815">
    <w:abstractNumId w:val="5"/>
  </w:num>
  <w:num w:numId="8" w16cid:durableId="375739250">
    <w:abstractNumId w:val="8"/>
  </w:num>
  <w:num w:numId="9" w16cid:durableId="169275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958"/>
    <w:rsid w:val="000043AF"/>
    <w:rsid w:val="000107A7"/>
    <w:rsid w:val="000118C9"/>
    <w:rsid w:val="000276EB"/>
    <w:rsid w:val="00032CE2"/>
    <w:rsid w:val="000368D0"/>
    <w:rsid w:val="00041F3D"/>
    <w:rsid w:val="000441E3"/>
    <w:rsid w:val="00053513"/>
    <w:rsid w:val="000611A5"/>
    <w:rsid w:val="00063689"/>
    <w:rsid w:val="00067A27"/>
    <w:rsid w:val="00070C08"/>
    <w:rsid w:val="000C2A8C"/>
    <w:rsid w:val="000D0E85"/>
    <w:rsid w:val="001250F2"/>
    <w:rsid w:val="00136861"/>
    <w:rsid w:val="00140221"/>
    <w:rsid w:val="001742A4"/>
    <w:rsid w:val="001761E0"/>
    <w:rsid w:val="00180CAE"/>
    <w:rsid w:val="00184012"/>
    <w:rsid w:val="001A18B4"/>
    <w:rsid w:val="001C4FD2"/>
    <w:rsid w:val="001C795E"/>
    <w:rsid w:val="001D056D"/>
    <w:rsid w:val="001D6C78"/>
    <w:rsid w:val="002203C4"/>
    <w:rsid w:val="002234DB"/>
    <w:rsid w:val="00223716"/>
    <w:rsid w:val="00224D7F"/>
    <w:rsid w:val="00243D9A"/>
    <w:rsid w:val="00263AF4"/>
    <w:rsid w:val="00267711"/>
    <w:rsid w:val="002718BF"/>
    <w:rsid w:val="00276580"/>
    <w:rsid w:val="0028691F"/>
    <w:rsid w:val="002A2AEC"/>
    <w:rsid w:val="002B07C4"/>
    <w:rsid w:val="002D372D"/>
    <w:rsid w:val="002D5B2D"/>
    <w:rsid w:val="002F0CCE"/>
    <w:rsid w:val="003030A1"/>
    <w:rsid w:val="00311402"/>
    <w:rsid w:val="00351C40"/>
    <w:rsid w:val="003676A9"/>
    <w:rsid w:val="0037465A"/>
    <w:rsid w:val="00382B7D"/>
    <w:rsid w:val="00382CBA"/>
    <w:rsid w:val="00385984"/>
    <w:rsid w:val="00395F1B"/>
    <w:rsid w:val="003E0958"/>
    <w:rsid w:val="003F31C2"/>
    <w:rsid w:val="00422227"/>
    <w:rsid w:val="00442E48"/>
    <w:rsid w:val="0045437D"/>
    <w:rsid w:val="0046419B"/>
    <w:rsid w:val="00472242"/>
    <w:rsid w:val="004A0348"/>
    <w:rsid w:val="004A5892"/>
    <w:rsid w:val="004D41AB"/>
    <w:rsid w:val="005129BB"/>
    <w:rsid w:val="00515887"/>
    <w:rsid w:val="00522335"/>
    <w:rsid w:val="005359CE"/>
    <w:rsid w:val="00540F40"/>
    <w:rsid w:val="00542E39"/>
    <w:rsid w:val="00546807"/>
    <w:rsid w:val="00570085"/>
    <w:rsid w:val="0057104B"/>
    <w:rsid w:val="0059521E"/>
    <w:rsid w:val="00597FD3"/>
    <w:rsid w:val="005A3A83"/>
    <w:rsid w:val="005C00AA"/>
    <w:rsid w:val="005E1FE7"/>
    <w:rsid w:val="005E6ACD"/>
    <w:rsid w:val="005F1614"/>
    <w:rsid w:val="00623E79"/>
    <w:rsid w:val="00661AF4"/>
    <w:rsid w:val="00662678"/>
    <w:rsid w:val="0067038F"/>
    <w:rsid w:val="006C2151"/>
    <w:rsid w:val="006D0198"/>
    <w:rsid w:val="006D144F"/>
    <w:rsid w:val="006E277D"/>
    <w:rsid w:val="006E5701"/>
    <w:rsid w:val="006E5C29"/>
    <w:rsid w:val="006F5847"/>
    <w:rsid w:val="0070520F"/>
    <w:rsid w:val="00715BB0"/>
    <w:rsid w:val="007200F8"/>
    <w:rsid w:val="007207B3"/>
    <w:rsid w:val="007267D9"/>
    <w:rsid w:val="0072717F"/>
    <w:rsid w:val="00735ED2"/>
    <w:rsid w:val="00744061"/>
    <w:rsid w:val="0077131A"/>
    <w:rsid w:val="00782820"/>
    <w:rsid w:val="007835B3"/>
    <w:rsid w:val="0079164E"/>
    <w:rsid w:val="0079534C"/>
    <w:rsid w:val="007A508B"/>
    <w:rsid w:val="007A5330"/>
    <w:rsid w:val="007C3193"/>
    <w:rsid w:val="007D42C0"/>
    <w:rsid w:val="007D5077"/>
    <w:rsid w:val="007F74EB"/>
    <w:rsid w:val="00804396"/>
    <w:rsid w:val="00834A62"/>
    <w:rsid w:val="008409DA"/>
    <w:rsid w:val="00847525"/>
    <w:rsid w:val="008546B8"/>
    <w:rsid w:val="00861A40"/>
    <w:rsid w:val="008657B2"/>
    <w:rsid w:val="008659E7"/>
    <w:rsid w:val="00887E05"/>
    <w:rsid w:val="00890FA4"/>
    <w:rsid w:val="00891118"/>
    <w:rsid w:val="008A14E4"/>
    <w:rsid w:val="008A1F6F"/>
    <w:rsid w:val="008A24C1"/>
    <w:rsid w:val="008A352B"/>
    <w:rsid w:val="008A4B57"/>
    <w:rsid w:val="008D6F3A"/>
    <w:rsid w:val="008E2EC7"/>
    <w:rsid w:val="008E5465"/>
    <w:rsid w:val="009314E8"/>
    <w:rsid w:val="00946524"/>
    <w:rsid w:val="00950AEE"/>
    <w:rsid w:val="00961EFE"/>
    <w:rsid w:val="00966241"/>
    <w:rsid w:val="00970254"/>
    <w:rsid w:val="00974FE7"/>
    <w:rsid w:val="009B17A0"/>
    <w:rsid w:val="009B7968"/>
    <w:rsid w:val="009C731C"/>
    <w:rsid w:val="009D72AD"/>
    <w:rsid w:val="009F4E81"/>
    <w:rsid w:val="009F5D4E"/>
    <w:rsid w:val="00A14B88"/>
    <w:rsid w:val="00A248CF"/>
    <w:rsid w:val="00A30D03"/>
    <w:rsid w:val="00A35A14"/>
    <w:rsid w:val="00A3753C"/>
    <w:rsid w:val="00A40815"/>
    <w:rsid w:val="00A82398"/>
    <w:rsid w:val="00AA573C"/>
    <w:rsid w:val="00AB6EC2"/>
    <w:rsid w:val="00AD1771"/>
    <w:rsid w:val="00AD18F5"/>
    <w:rsid w:val="00AE5EA9"/>
    <w:rsid w:val="00AF5A28"/>
    <w:rsid w:val="00AF5DDA"/>
    <w:rsid w:val="00B011E1"/>
    <w:rsid w:val="00B2707A"/>
    <w:rsid w:val="00B344F8"/>
    <w:rsid w:val="00B34E6D"/>
    <w:rsid w:val="00B41DFC"/>
    <w:rsid w:val="00B47B9A"/>
    <w:rsid w:val="00B5270B"/>
    <w:rsid w:val="00B6249A"/>
    <w:rsid w:val="00B632B8"/>
    <w:rsid w:val="00BA6AF8"/>
    <w:rsid w:val="00BC1A3F"/>
    <w:rsid w:val="00BC2CFD"/>
    <w:rsid w:val="00BC34E0"/>
    <w:rsid w:val="00BD378E"/>
    <w:rsid w:val="00BF1177"/>
    <w:rsid w:val="00BF15EF"/>
    <w:rsid w:val="00C107ED"/>
    <w:rsid w:val="00C21159"/>
    <w:rsid w:val="00C23541"/>
    <w:rsid w:val="00C2404B"/>
    <w:rsid w:val="00C3065E"/>
    <w:rsid w:val="00C30EA2"/>
    <w:rsid w:val="00C36E05"/>
    <w:rsid w:val="00C42C2E"/>
    <w:rsid w:val="00C57CE7"/>
    <w:rsid w:val="00C641BA"/>
    <w:rsid w:val="00C83BC3"/>
    <w:rsid w:val="00C86B33"/>
    <w:rsid w:val="00C942D8"/>
    <w:rsid w:val="00C96B6F"/>
    <w:rsid w:val="00CA2061"/>
    <w:rsid w:val="00CB0109"/>
    <w:rsid w:val="00CC2271"/>
    <w:rsid w:val="00CD7776"/>
    <w:rsid w:val="00CE2485"/>
    <w:rsid w:val="00CE7BAA"/>
    <w:rsid w:val="00CF4E7B"/>
    <w:rsid w:val="00D13E1F"/>
    <w:rsid w:val="00D23CA0"/>
    <w:rsid w:val="00D25AAC"/>
    <w:rsid w:val="00D4588D"/>
    <w:rsid w:val="00D60CEA"/>
    <w:rsid w:val="00D93103"/>
    <w:rsid w:val="00DA67F0"/>
    <w:rsid w:val="00DA69CB"/>
    <w:rsid w:val="00DB5F35"/>
    <w:rsid w:val="00DF6ECF"/>
    <w:rsid w:val="00E00E1B"/>
    <w:rsid w:val="00E145C3"/>
    <w:rsid w:val="00E15F1A"/>
    <w:rsid w:val="00E16641"/>
    <w:rsid w:val="00E21B6A"/>
    <w:rsid w:val="00E30F9A"/>
    <w:rsid w:val="00E330A8"/>
    <w:rsid w:val="00E46689"/>
    <w:rsid w:val="00E5127C"/>
    <w:rsid w:val="00E53BD5"/>
    <w:rsid w:val="00E720AD"/>
    <w:rsid w:val="00E86EB3"/>
    <w:rsid w:val="00E90E24"/>
    <w:rsid w:val="00E91EE8"/>
    <w:rsid w:val="00EA31AD"/>
    <w:rsid w:val="00EA3CF0"/>
    <w:rsid w:val="00EB35EE"/>
    <w:rsid w:val="00EB389F"/>
    <w:rsid w:val="00EC0ADB"/>
    <w:rsid w:val="00EC63D2"/>
    <w:rsid w:val="00EE490F"/>
    <w:rsid w:val="00F2095A"/>
    <w:rsid w:val="00F24184"/>
    <w:rsid w:val="00F316D7"/>
    <w:rsid w:val="00F51159"/>
    <w:rsid w:val="00F527BF"/>
    <w:rsid w:val="00F55453"/>
    <w:rsid w:val="00F56068"/>
    <w:rsid w:val="00F71383"/>
    <w:rsid w:val="00F71707"/>
    <w:rsid w:val="00FA3AD4"/>
    <w:rsid w:val="00FA3E9C"/>
    <w:rsid w:val="00FC221A"/>
    <w:rsid w:val="00FD750A"/>
    <w:rsid w:val="00FF2911"/>
    <w:rsid w:val="00FF3114"/>
    <w:rsid w:val="00FF48A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BEDD"/>
  <w15:docId w15:val="{C5B41C25-94B1-47CA-A995-AA027565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ListParagraph">
    <w:name w:val="List Paragraph"/>
    <w:aliases w:val="List Paragraph1,Paragraph,IBL List Paragraph,List Paragraph Num,Дэд гарчиг,Bullets,Colorful List - Accent 11,Subtitle1,Subtitle11,Subtitle111,Subtitle1111,Subtitle11111,Subtitle2,Heading Number,AusAID List Paragraph,Subhead Paragraph"/>
    <w:basedOn w:val="Normal"/>
    <w:link w:val="ListParagraphChar"/>
    <w:uiPriority w:val="34"/>
    <w:qFormat/>
    <w:rsid w:val="00E16641"/>
    <w:pPr>
      <w:spacing w:after="0" w:line="240" w:lineRule="auto"/>
      <w:ind w:left="720"/>
      <w:contextualSpacing/>
    </w:pPr>
    <w:rPr>
      <w:rFonts w:ascii="Verdana" w:eastAsia="Verdana" w:hAnsi="Verdana" w:cs="Times New Roman"/>
      <w:sz w:val="15"/>
      <w:szCs w:val="16"/>
      <w:lang w:bidi="ar-SA"/>
    </w:rPr>
  </w:style>
  <w:style w:type="character" w:customStyle="1" w:styleId="ListParagraphChar">
    <w:name w:val="List Paragraph Char"/>
    <w:aliases w:val="List Paragraph1 Char,Paragraph Char,IBL List Paragraph Char,List Paragraph Num Char,Дэд гарчиг Char,Bullets Char,Colorful List - Accent 11 Char,Subtitle1 Char,Subtitle11 Char,Subtitle111 Char,Subtitle1111 Char,Subtitle11111 Char"/>
    <w:basedOn w:val="DefaultParagraphFont"/>
    <w:link w:val="ListParagraph"/>
    <w:uiPriority w:val="34"/>
    <w:qFormat/>
    <w:locked/>
    <w:rsid w:val="00E16641"/>
    <w:rPr>
      <w:rFonts w:ascii="Verdana" w:eastAsia="Verdana" w:hAnsi="Verdana" w:cs="Times New Roman"/>
      <w:sz w:val="15"/>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39</cp:revision>
  <cp:lastPrinted>2023-06-21T02:12:00Z</cp:lastPrinted>
  <dcterms:created xsi:type="dcterms:W3CDTF">2023-01-06T02:29:00Z</dcterms:created>
  <dcterms:modified xsi:type="dcterms:W3CDTF">2023-12-07T09:33:00Z</dcterms:modified>
  <cp:category/>
</cp:coreProperties>
</file>